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6E" w:rsidRPr="004A6293" w:rsidRDefault="009B1A6E" w:rsidP="009B1A6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4A6293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Appendix </w:t>
      </w: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E</w:t>
      </w:r>
    </w:p>
    <w:p w:rsidR="009B1A6E" w:rsidRPr="00267A9E" w:rsidRDefault="009B1A6E" w:rsidP="009B1A6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B1A6E" w:rsidRPr="009B1A6E" w:rsidRDefault="009B1A6E" w:rsidP="009B1A6E">
      <w:pPr>
        <w:rPr>
          <w:rFonts w:ascii="Arial" w:hAnsi="Arial" w:cs="Arial"/>
          <w:b/>
        </w:rPr>
      </w:pPr>
      <w:r w:rsidRPr="009B1A6E">
        <w:rPr>
          <w:rFonts w:ascii="Arial" w:hAnsi="Arial" w:cs="Arial"/>
          <w:b/>
        </w:rPr>
        <w:t>Summary of Reponses to Consultation on Article 4 Direction (offices to residential)</w:t>
      </w:r>
    </w:p>
    <w:p w:rsidR="009B1A6E" w:rsidRPr="00267A9E" w:rsidRDefault="009B1A6E" w:rsidP="009B1A6E">
      <w:pPr>
        <w:rPr>
          <w:rFonts w:ascii="Arial" w:hAnsi="Arial" w:cs="Arial"/>
          <w:b/>
          <w:sz w:val="22"/>
          <w:szCs w:val="22"/>
        </w:rPr>
      </w:pPr>
    </w:p>
    <w:p w:rsidR="009B1A6E" w:rsidRPr="00267A9E" w:rsidRDefault="009B1A6E" w:rsidP="009B1A6E">
      <w:pPr>
        <w:rPr>
          <w:rFonts w:ascii="Arial" w:hAnsi="Arial" w:cs="Arial"/>
          <w:sz w:val="22"/>
          <w:szCs w:val="22"/>
        </w:rPr>
      </w:pPr>
      <w:r w:rsidRPr="00267A9E">
        <w:rPr>
          <w:rFonts w:ascii="Arial" w:hAnsi="Arial" w:cs="Arial"/>
          <w:sz w:val="22"/>
          <w:szCs w:val="22"/>
        </w:rPr>
        <w:t xml:space="preserve">This consultation ran from </w:t>
      </w:r>
      <w:bookmarkStart w:id="0" w:name="_GoBack"/>
      <w:bookmarkEnd w:id="0"/>
      <w:r w:rsidRPr="00267A9E">
        <w:rPr>
          <w:rFonts w:ascii="Arial" w:hAnsi="Arial" w:cs="Arial"/>
          <w:sz w:val="22"/>
          <w:szCs w:val="22"/>
        </w:rPr>
        <w:t>28</w:t>
      </w:r>
      <w:r w:rsidRPr="00267A9E">
        <w:rPr>
          <w:rFonts w:ascii="Arial" w:hAnsi="Arial" w:cs="Arial"/>
          <w:sz w:val="22"/>
          <w:szCs w:val="22"/>
          <w:vertAlign w:val="superscript"/>
        </w:rPr>
        <w:t>th</w:t>
      </w:r>
      <w:r w:rsidRPr="00267A9E">
        <w:rPr>
          <w:rFonts w:ascii="Arial" w:hAnsi="Arial" w:cs="Arial"/>
          <w:sz w:val="22"/>
          <w:szCs w:val="22"/>
        </w:rPr>
        <w:t xml:space="preserve"> March to 23</w:t>
      </w:r>
      <w:r w:rsidRPr="00267A9E">
        <w:rPr>
          <w:rFonts w:ascii="Arial" w:hAnsi="Arial" w:cs="Arial"/>
          <w:sz w:val="22"/>
          <w:szCs w:val="22"/>
          <w:vertAlign w:val="superscript"/>
        </w:rPr>
        <w:t>rd</w:t>
      </w:r>
      <w:r w:rsidRPr="00267A9E">
        <w:rPr>
          <w:rFonts w:ascii="Arial" w:hAnsi="Arial" w:cs="Arial"/>
          <w:sz w:val="22"/>
          <w:szCs w:val="22"/>
        </w:rPr>
        <w:t xml:space="preserve"> May 2014 and there were a total of 32 responses: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306"/>
      </w:tblGrid>
      <w:tr w:rsidR="009B1A6E" w:rsidRPr="00267A9E" w:rsidTr="003F7705">
        <w:tc>
          <w:tcPr>
            <w:tcW w:w="2868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  <w:tc>
          <w:tcPr>
            <w:tcW w:w="130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</w:p>
        </w:tc>
      </w:tr>
      <w:tr w:rsidR="009B1A6E" w:rsidRPr="00267A9E" w:rsidTr="003F7705">
        <w:tc>
          <w:tcPr>
            <w:tcW w:w="286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30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B1A6E" w:rsidRPr="00267A9E" w:rsidTr="003F7705">
        <w:tc>
          <w:tcPr>
            <w:tcW w:w="286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30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9B1A6E" w:rsidRPr="00267A9E" w:rsidTr="003F7705">
        <w:tc>
          <w:tcPr>
            <w:tcW w:w="286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30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9B1A6E" w:rsidRPr="00267A9E" w:rsidRDefault="009B1A6E" w:rsidP="009B1A6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305"/>
        <w:gridCol w:w="5997"/>
      </w:tblGrid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b/>
                <w:sz w:val="22"/>
                <w:szCs w:val="22"/>
              </w:rPr>
              <w:t>Respondent</w:t>
            </w:r>
          </w:p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b/>
                <w:sz w:val="22"/>
                <w:szCs w:val="22"/>
              </w:rPr>
              <w:t xml:space="preserve">Nature of response </w:t>
            </w:r>
          </w:p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(object, support or comment)</w:t>
            </w:r>
          </w:p>
        </w:tc>
        <w:tc>
          <w:tcPr>
            <w:tcW w:w="10380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b/>
                <w:sz w:val="22"/>
                <w:szCs w:val="22"/>
              </w:rPr>
              <w:t>Brief summary of response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John Sear</w:t>
            </w:r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Need to maintain employment sites in Oxford. Suggested addition.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Colbeck</w:t>
            </w:r>
            <w:proofErr w:type="spellEnd"/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But any future planning application should be approved unless clearly shown that loss of office space will result in loss of employment; or residential use sub-standard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Anthony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Beechers</w:t>
            </w:r>
            <w:proofErr w:type="spellEnd"/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Supports Article 4 but wishes to ensure position is monitored in the future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12 people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0380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Agent: JPPC acting for LCH Properties Ltd (owner of Summertown Pavilion)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This property is an aged and outdate office premises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List of Protected Employment sites, subject to the Article 4 Direction are not all office uses and is therefore an ‘indiscriminate’ list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City Council applied for ‘exemption’ to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Gvt</w:t>
            </w:r>
            <w:proofErr w:type="spellEnd"/>
            <w:r w:rsidRPr="00267A9E">
              <w:rPr>
                <w:rFonts w:ascii="Arial" w:hAnsi="Arial" w:cs="Arial"/>
                <w:sz w:val="22"/>
                <w:szCs w:val="22"/>
              </w:rPr>
              <w:t xml:space="preserve"> for this list of sites but were not successful 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Consider the loss of employment sites is not a ‘worrying trend’ and that no exceptional case has been made  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Seeks to impose a ‘blanket order’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Agent: Kemp and Kemp on behalf of S. Hutchins &amp; Green (owners of 1A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Southmoor</w:t>
            </w:r>
            <w:proofErr w:type="spellEnd"/>
            <w:r w:rsidRPr="00267A9E">
              <w:rPr>
                <w:rFonts w:ascii="Arial" w:hAnsi="Arial" w:cs="Arial"/>
                <w:sz w:val="22"/>
                <w:szCs w:val="22"/>
              </w:rPr>
              <w:t xml:space="preserve"> Rd) 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The City Council sought an ‘exemption’ to the introduction of this Order but were unsuccessful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There is no material change in circumstances to justify a different decision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Does not consider that there is sufficient evidence to show that the loss of employment sites would impact on local economic growth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Considered there is an over-supply of offices and therefore more employment land than the market requires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The effect on the Article 4 Direction would be to reduce the potential amount of housing that could contribute to Oxford’s significant housing need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This site is not considered to be worthy of protection for its existing use but would be better suited for residential  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Thomas Homes owner of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Broadfield</w:t>
            </w:r>
            <w:proofErr w:type="spellEnd"/>
            <w:r w:rsidRPr="00267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A9E">
              <w:rPr>
                <w:rFonts w:ascii="Arial" w:hAnsi="Arial" w:cs="Arial"/>
                <w:sz w:val="22"/>
                <w:szCs w:val="22"/>
              </w:rPr>
              <w:lastRenderedPageBreak/>
              <w:t>House, Between Towns Rd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lastRenderedPageBreak/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City Council applied for ‘exemption’ to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Gvt</w:t>
            </w:r>
            <w:proofErr w:type="spellEnd"/>
            <w:r w:rsidRPr="00267A9E">
              <w:rPr>
                <w:rFonts w:ascii="Arial" w:hAnsi="Arial" w:cs="Arial"/>
                <w:sz w:val="22"/>
                <w:szCs w:val="22"/>
              </w:rPr>
              <w:t xml:space="preserve"> for this list of sites but were not successful 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The list comprises sites other than those in use as </w:t>
            </w:r>
            <w:r w:rsidRPr="00267A9E">
              <w:rPr>
                <w:rFonts w:ascii="Arial" w:hAnsi="Arial" w:cs="Arial"/>
                <w:sz w:val="22"/>
                <w:szCs w:val="22"/>
              </w:rPr>
              <w:lastRenderedPageBreak/>
              <w:t>offices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Broadfield</w:t>
            </w:r>
            <w:proofErr w:type="spellEnd"/>
            <w:r w:rsidRPr="00267A9E">
              <w:rPr>
                <w:rFonts w:ascii="Arial" w:hAnsi="Arial" w:cs="Arial"/>
                <w:sz w:val="22"/>
                <w:szCs w:val="22"/>
              </w:rPr>
              <w:t xml:space="preserve"> House already has ‘prior approval’ for residential and conversion work is under-construction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Consider Class J relaxation is re-using outdated offices and supporting provision of housing in Oxford  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City Council seeks to impose a ‘blanket order’ and failed to justify the case for an Article 4 Direction </w:t>
            </w:r>
          </w:p>
          <w:p w:rsidR="009B1A6E" w:rsidRPr="00267A9E" w:rsidRDefault="009B1A6E" w:rsidP="003F7705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lastRenderedPageBreak/>
              <w:t>Oxfordshire County Council</w:t>
            </w:r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Provision of employment sites should be balanced against need to identify additional housing sites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Consider that some employment sites could be released for housing without undermining future economic growth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Consider that as part of SHMA review all protected sites should be assessed for their suitability for residential development  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South Oxfordshire District Council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Does not consider that a case has been made to justify an Article 4 Direction. No evidence of impact on local amenity or wellbeing.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In the context of housing targets in the SHMA, consider Oxford’s Core Strategy is need of review together with list of protected employment sites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Some of these employment sites should be reviewed for release to housing to meet SHMA targets and help Oxford’s housing needs.  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Cherwell District Council</w:t>
            </w:r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Would like some assurance that implications of the Article 4 Direction will be reflected in the post Oxfordshire SHMA process have been fully taken into account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Request confirmation that the Article 4 Direction will not restrict housing capacity assessment, which should be free of policy constraints.   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Vale of White Horse</w:t>
            </w:r>
          </w:p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Does not consider that a case has been made to justify an Article 4 Direction. No evidence of impact on local amenity or wellbeing.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In the context of housing targets in the SHMA, consider Oxford’s Core Strategy is need of review together with list of protected employment sites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Some of these employment sites should be reviewed for release to housing to meet SHMA targets and help Oxford’s housing needs.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Harker</w:t>
            </w:r>
            <w:proofErr w:type="spellEnd"/>
            <w:r w:rsidRPr="00267A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Tait</w:t>
            </w:r>
            <w:proofErr w:type="spellEnd"/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Green Street Bindery should be allowed to convert to residential. Employment uses generate traffic and cause problems for residents. Need more affordable housing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Miss. Joyce Ann Day 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Given shortage of housing empty offices should be converted to residential 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Jan Bartlett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More housing needed in Oxford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Jason </w:t>
            </w:r>
            <w:proofErr w:type="spellStart"/>
            <w:r w:rsidRPr="00267A9E">
              <w:rPr>
                <w:rFonts w:ascii="Arial" w:hAnsi="Arial" w:cs="Arial"/>
                <w:sz w:val="22"/>
                <w:szCs w:val="22"/>
              </w:rPr>
              <w:t>Arneil</w:t>
            </w:r>
            <w:proofErr w:type="spellEnd"/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 xml:space="preserve">City badly needs housing should leave it to market demand to determine use.  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Cllr. Tony Brett</w:t>
            </w:r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Oxford short of affordable housing and therefore should allow B1 offices to be converted to residential use. Object to proposed Article 4 Direction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lastRenderedPageBreak/>
              <w:t>2 people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10380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The Theatres Trust</w:t>
            </w:r>
          </w:p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From experience real risks occur to the operation of cultural facilities from residential development being located next to them</w:t>
            </w:r>
          </w:p>
          <w:p w:rsidR="009B1A6E" w:rsidRPr="00267A9E" w:rsidRDefault="009B1A6E" w:rsidP="009B1A6E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Residential uses require high standards of amenity for theatres to meet, such as around noise and disturbance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Natural England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No objection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Confirmed no comments to make</w:t>
            </w:r>
          </w:p>
        </w:tc>
      </w:tr>
      <w:tr w:rsidR="009B1A6E" w:rsidRPr="00267A9E" w:rsidTr="003F7705">
        <w:tc>
          <w:tcPr>
            <w:tcW w:w="2376" w:type="dxa"/>
          </w:tcPr>
          <w:p w:rsidR="009B1A6E" w:rsidRPr="00267A9E" w:rsidRDefault="009B1A6E" w:rsidP="003F7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Martin Small (English Heritage)</w:t>
            </w:r>
          </w:p>
        </w:tc>
        <w:tc>
          <w:tcPr>
            <w:tcW w:w="1418" w:type="dxa"/>
          </w:tcPr>
          <w:p w:rsidR="009B1A6E" w:rsidRPr="00267A9E" w:rsidRDefault="009B1A6E" w:rsidP="003F7705">
            <w:pPr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10380" w:type="dxa"/>
          </w:tcPr>
          <w:p w:rsidR="009B1A6E" w:rsidRPr="00267A9E" w:rsidRDefault="009B1A6E" w:rsidP="009B1A6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267A9E">
              <w:rPr>
                <w:rFonts w:ascii="Arial" w:hAnsi="Arial" w:cs="Arial"/>
                <w:sz w:val="22"/>
                <w:szCs w:val="22"/>
              </w:rPr>
              <w:t>No comment since unlikely to impact on Listed Buildings or Scheduled Monuments.</w:t>
            </w:r>
          </w:p>
        </w:tc>
      </w:tr>
    </w:tbl>
    <w:p w:rsidR="00657E26" w:rsidRDefault="009B1A6E"/>
    <w:sectPr w:rsidR="0065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3CD5"/>
    <w:multiLevelType w:val="hybridMultilevel"/>
    <w:tmpl w:val="CA0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656B"/>
    <w:multiLevelType w:val="hybridMultilevel"/>
    <w:tmpl w:val="2B2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1DAE"/>
    <w:multiLevelType w:val="hybridMultilevel"/>
    <w:tmpl w:val="445A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2583"/>
    <w:multiLevelType w:val="hybridMultilevel"/>
    <w:tmpl w:val="64BC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19BD"/>
    <w:multiLevelType w:val="hybridMultilevel"/>
    <w:tmpl w:val="95BC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0006"/>
    <w:multiLevelType w:val="hybridMultilevel"/>
    <w:tmpl w:val="3062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1813"/>
    <w:multiLevelType w:val="hybridMultilevel"/>
    <w:tmpl w:val="804E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1BCB"/>
    <w:multiLevelType w:val="hybridMultilevel"/>
    <w:tmpl w:val="F04C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E"/>
    <w:rsid w:val="00803363"/>
    <w:rsid w:val="009B1A6E"/>
    <w:rsid w:val="00B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6E"/>
    <w:pPr>
      <w:ind w:left="720"/>
      <w:contextualSpacing/>
    </w:pPr>
  </w:style>
  <w:style w:type="table" w:styleId="TableGrid">
    <w:name w:val="Table Grid"/>
    <w:basedOn w:val="TableNormal"/>
    <w:uiPriority w:val="59"/>
    <w:rsid w:val="009B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6E"/>
    <w:pPr>
      <w:ind w:left="720"/>
      <w:contextualSpacing/>
    </w:pPr>
  </w:style>
  <w:style w:type="table" w:styleId="TableGrid">
    <w:name w:val="Table Grid"/>
    <w:basedOn w:val="TableNormal"/>
    <w:uiPriority w:val="59"/>
    <w:rsid w:val="009B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F2BE95EF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Tom.Morris</dc:creator>
  <cp:lastModifiedBy>Tom.Morris</cp:lastModifiedBy>
  <cp:revision>1</cp:revision>
  <dcterms:created xsi:type="dcterms:W3CDTF">2015-02-23T10:46:00Z</dcterms:created>
  <dcterms:modified xsi:type="dcterms:W3CDTF">2015-02-23T10:47:00Z</dcterms:modified>
</cp:coreProperties>
</file>